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Kantumruy Pro" w:eastAsia="Calibri Light" w:hAnsi="Kantumruy Pro" w:cs="Kantumruy Pro"/>
          <w:b/>
          <w:bCs/>
          <w:sz w:val="19"/>
          <w:szCs w:val="19"/>
          <w:u w:val="single"/>
        </w:rPr>
      </w:pPr>
      <w:r>
        <w:rPr>
          <w:rFonts w:ascii="Kantumruy Pro" w:eastAsia="Calibri Light" w:hAnsi="Kantumruy Pro" w:cs="Kantumruy Pro"/>
          <w:b/>
          <w:bCs/>
          <w:sz w:val="19"/>
          <w:szCs w:val="19"/>
          <w:u w:val="single"/>
        </w:rPr>
        <w:t>Unterrichtsskizze zur Lernumgebung „Das Quaderspiel“</w:t>
      </w:r>
    </w:p>
    <w:p>
      <w:pPr>
        <w:rPr>
          <w:rFonts w:ascii="Kantumruy Pro" w:eastAsia="Calibri Light" w:hAnsi="Kantumruy Pro" w:cs="Kantumruy Pro"/>
          <w:sz w:val="19"/>
          <w:szCs w:val="19"/>
          <w:u w:val="single"/>
        </w:rPr>
      </w:pPr>
      <w:r>
        <w:rPr>
          <w:rFonts w:ascii="Kantumruy Pro" w:eastAsia="Calibri Light" w:hAnsi="Kantumruy Pro" w:cs="Kantumruy Pro"/>
          <w:sz w:val="19"/>
          <w:szCs w:val="19"/>
          <w:u w:val="single"/>
        </w:rPr>
        <w:t>Ziele:</w:t>
      </w:r>
    </w:p>
    <w:p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  <w:proofErr w:type="spellStart"/>
      <w:proofErr w:type="gramStart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>Schüler:innen</w:t>
      </w:r>
      <w:proofErr w:type="spellEnd"/>
      <w:proofErr w:type="gramEnd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 xml:space="preserve"> entwickeln die Einsicht, dass feste Überzeugungen durch statistisch untermauerte Aussagen zu ersetzen sind. </w:t>
      </w:r>
    </w:p>
    <w:p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  <w:proofErr w:type="spellStart"/>
      <w:proofErr w:type="gramStart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>Schüler:innen</w:t>
      </w:r>
      <w:proofErr w:type="spellEnd"/>
      <w:proofErr w:type="gramEnd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 xml:space="preserve"> können Daten in Strichlisten und Tabellen darstellen.</w:t>
      </w:r>
    </w:p>
    <w:p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  <w:proofErr w:type="spellStart"/>
      <w:proofErr w:type="gramStart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>Schüler:innen</w:t>
      </w:r>
      <w:proofErr w:type="spellEnd"/>
      <w:proofErr w:type="gramEnd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 xml:space="preserve"> erhalten Einsicht in die Variabilität statistischer Daten, indem Sie generierte Stichproben miteinander vergleichen.</w:t>
      </w:r>
    </w:p>
    <w:p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  <w:proofErr w:type="spellStart"/>
      <w:proofErr w:type="gramStart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>Schüler:innen</w:t>
      </w:r>
      <w:proofErr w:type="spellEnd"/>
      <w:proofErr w:type="gramEnd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 xml:space="preserve"> erkennen Muster in der ausreichend großen Gesamtstichprobe, indem sie das dazugehörige Säulendiagramm analysieren.</w:t>
      </w:r>
    </w:p>
    <w:p>
      <w:pPr>
        <w:pStyle w:val="paragraph"/>
        <w:numPr>
          <w:ilvl w:val="0"/>
          <w:numId w:val="7"/>
        </w:numPr>
        <w:spacing w:before="0" w:beforeAutospacing="0" w:after="0" w:afterAutospacing="0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  <w:proofErr w:type="spellStart"/>
      <w:proofErr w:type="gramStart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>Schüler:innen</w:t>
      </w:r>
      <w:proofErr w:type="spellEnd"/>
      <w:proofErr w:type="gramEnd"/>
      <w:r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  <w:t xml:space="preserve"> beantworten die Forscherfrage (“Ist das Spiel fair?”), indem sie die auftretenden relativen Häufigkeiten bei der Durchführung des Quaderspiels als Schätzwerte von Wahrscheinlichkeiten nutzen (Gesetz der großen Zahlen). </w:t>
      </w:r>
    </w:p>
    <w:p>
      <w:pPr>
        <w:rPr>
          <w:rFonts w:ascii="Kantumruy Pro" w:eastAsia="Calibri Light" w:hAnsi="Kantumruy Pro" w:cs="Kantumruy Pro"/>
          <w:b/>
          <w:bCs/>
          <w:sz w:val="19"/>
          <w:szCs w:val="19"/>
          <w:u w:val="single"/>
        </w:rPr>
      </w:pPr>
    </w:p>
    <w:p>
      <w:pPr>
        <w:rPr>
          <w:rFonts w:ascii="Kantumruy Pro" w:eastAsia="Calibri Light" w:hAnsi="Kantumruy Pro" w:cs="Kantumruy Pro"/>
          <w:sz w:val="19"/>
          <w:szCs w:val="19"/>
        </w:rPr>
      </w:pPr>
      <w:r>
        <w:rPr>
          <w:rFonts w:ascii="Kantumruy Pro" w:eastAsia="Calibri Light" w:hAnsi="Kantumruy Pro" w:cs="Kantumruy Pro"/>
          <w:sz w:val="19"/>
          <w:szCs w:val="19"/>
        </w:rPr>
        <w:t>Die Unterrichtsskizze ist als Vorschlag zu verstehen.</w:t>
      </w:r>
    </w:p>
    <w:tbl>
      <w:tblPr>
        <w:tblW w:w="99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588"/>
        <w:gridCol w:w="1554"/>
        <w:gridCol w:w="1518"/>
        <w:gridCol w:w="2107"/>
        <w:gridCol w:w="1578"/>
      </w:tblGrid>
      <w:tr>
        <w:trPr>
          <w:trHeight w:val="780"/>
        </w:trPr>
        <w:tc>
          <w:tcPr>
            <w:tcW w:w="5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Zeit</w:t>
            </w:r>
          </w:p>
        </w:tc>
        <w:tc>
          <w:tcPr>
            <w:tcW w:w="24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Phase und Inhalt</w:t>
            </w:r>
          </w:p>
        </w:tc>
        <w:tc>
          <w:tcPr>
            <w:tcW w:w="14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Sozialform</w:t>
            </w:r>
          </w:p>
        </w:tc>
        <w:tc>
          <w:tcPr>
            <w:tcW w:w="138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Material/</w:t>
            </w:r>
            <w:r>
              <w:rPr>
                <w:rFonts w:ascii="Kantumruy Pro" w:eastAsia="Times New Roman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br/>
            </w: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 Medien</w:t>
            </w:r>
          </w:p>
        </w:tc>
        <w:tc>
          <w:tcPr>
            <w:tcW w:w="19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jc w:val="center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Lernziel</w:t>
            </w:r>
          </w:p>
        </w:tc>
        <w:tc>
          <w:tcPr>
            <w:tcW w:w="21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line="240" w:lineRule="auto"/>
              <w:jc w:val="center"/>
              <w:rPr>
                <w:rFonts w:ascii="Kantumruy Pro" w:eastAsia="Calibri Light" w:hAnsi="Kantumruy Pro" w:cs="Kantumruy Pro"/>
                <w:b/>
                <w:bCs/>
                <w:color w:val="000000" w:themeColor="text1"/>
                <w:sz w:val="19"/>
                <w:szCs w:val="19"/>
                <w:lang w:eastAsia="de-D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 w:themeColor="text1"/>
                <w:sz w:val="19"/>
                <w:szCs w:val="19"/>
                <w:lang w:eastAsia="de-DE"/>
              </w:rPr>
              <w:t>Notizen</w:t>
            </w:r>
          </w:p>
        </w:tc>
      </w:tr>
      <w:tr>
        <w:trPr>
          <w:trHeight w:val="1725"/>
        </w:trPr>
        <w:tc>
          <w:tcPr>
            <w:tcW w:w="5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</w:tc>
        <w:tc>
          <w:tcPr>
            <w:tcW w:w="24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Einstieg  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Vorstellung des Quaderspiels und der Forscherfrage. Vermutungen und Begründungen werden festgehalten (AB, Aufgabe 1). Fachlich unzureichende Vorstellungen / Fehlvorstellungen werden eruiert. 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Hinweis: </w:t>
            </w: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Mit den Quadern darf in dieser Phase noch NICHT gewürfelt werden! </w:t>
            </w:r>
          </w:p>
        </w:tc>
        <w:tc>
          <w:tcPr>
            <w:tcW w:w="14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Partnerarbeit und anschließender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Plenums- </w:t>
            </w:r>
            <w:proofErr w:type="spellStart"/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unterricht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PowerPoint Quaderspiel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Arbeitsblatt 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Ein Quader pro Schülerin bzw. Schüler</w:t>
            </w:r>
          </w:p>
        </w:tc>
        <w:tc>
          <w:tcPr>
            <w:tcW w:w="19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entwickeln die Einsicht, dass feste Überzeugungen durch statistisch untermauerte Aussagen zu ersetzen sind.</w:t>
            </w:r>
          </w:p>
        </w:tc>
        <w:tc>
          <w:tcPr>
            <w:tcW w:w="21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line="240" w:lineRule="auto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</w:tc>
      </w:tr>
      <w:tr>
        <w:trPr>
          <w:trHeight w:val="726"/>
        </w:trPr>
        <w:tc>
          <w:tcPr>
            <w:tcW w:w="5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</w:tc>
        <w:tc>
          <w:tcPr>
            <w:tcW w:w="24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Erkundungs- / Arbeitsphase 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Vergleichbare Stichproben gegenüberstellen und Variabilität von Daten herausarbeiten (Aufgaben 2 bis 4).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  <w:p>
            <w:pPr>
              <w:spacing w:after="24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 „Würfelt nun 15 Mal mit zwei Quadern und addiert jeweils die Augenzahlen. Führt dazu eine Strichliste. Wer hat gewonnen? Stimmt eure Vermutung von oben? Warum?</w:t>
            </w:r>
          </w:p>
          <w:p>
            <w:pPr>
              <w:spacing w:before="240"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„Vergleicht eure Ergebnisse mit den Ergebnissen anderer Gruppen. Was fällt euch auf? Beschreibt eure Beobachtungen!“</w:t>
            </w:r>
          </w:p>
        </w:tc>
        <w:tc>
          <w:tcPr>
            <w:tcW w:w="14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 Partnerarbeit</w:t>
            </w:r>
          </w:p>
          <w:p>
            <w:pPr>
              <w:spacing w:after="24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hAnsi="Kantumruy Pro" w:cs="Kantumruy Pro"/>
                <w:sz w:val="19"/>
                <w:szCs w:val="19"/>
              </w:rPr>
              <w:br/>
            </w:r>
            <w:r>
              <w:rPr>
                <w:rFonts w:ascii="Kantumruy Pro" w:hAnsi="Kantumruy Pro" w:cs="Kantumruy Pro"/>
                <w:sz w:val="19"/>
                <w:szCs w:val="19"/>
              </w:rPr>
              <w:br/>
            </w:r>
          </w:p>
        </w:tc>
        <w:tc>
          <w:tcPr>
            <w:tcW w:w="138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 AB </w:t>
            </w:r>
          </w:p>
        </w:tc>
        <w:tc>
          <w:tcPr>
            <w:tcW w:w="19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können Daten in Strichlisten und Tabellen darstellen.</w:t>
            </w:r>
          </w:p>
          <w:p>
            <w:pPr>
              <w:spacing w:after="0" w:line="240" w:lineRule="auto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erhalten Einsicht in die Variabilität statistischer Daten, indem Sie generierte Stichproben miteinander vergleichen.</w:t>
            </w:r>
            <w:r>
              <w:rPr>
                <w:rFonts w:ascii="Kantumruy Pro" w:eastAsia="Calibri Light" w:hAnsi="Kantumruy Pro" w:cs="Kantumruy Pro"/>
                <w:color w:val="000000" w:themeColor="text1"/>
                <w:sz w:val="19"/>
                <w:szCs w:val="19"/>
              </w:rPr>
              <w:t xml:space="preserve"> 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sz w:val="19"/>
                <w:szCs w:val="19"/>
                <w:lang w:eastAsia="de-D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 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color w:val="000000" w:themeColor="text1"/>
                <w:sz w:val="19"/>
                <w:szCs w:val="19"/>
                <w:lang w:eastAsia="de-DE"/>
              </w:rPr>
            </w:pP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color w:val="000000" w:themeColor="text1"/>
                <w:kern w:val="0"/>
                <w:sz w:val="19"/>
                <w:szCs w:val="19"/>
                <w:lang w:eastAsia="de-DE"/>
                <w14:ligatures w14:val="none"/>
              </w:rPr>
            </w:pPr>
          </w:p>
        </w:tc>
        <w:tc>
          <w:tcPr>
            <w:tcW w:w="21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line="240" w:lineRule="auto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</w:tc>
      </w:tr>
      <w:tr>
        <w:trPr>
          <w:trHeight w:val="4454"/>
        </w:trPr>
        <w:tc>
          <w:tcPr>
            <w:tcW w:w="5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</w:tc>
        <w:tc>
          <w:tcPr>
            <w:tcW w:w="24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Ergebnissicherung 1 / Reflexionsphase 1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Ergebnisse der einzelnen Gruppen in Excel eintragen, mit Säulendiagrammen visualisieren, gegenüberstellen und beschreiben.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Diagramme einzelner Gruppen mit dem Gesamtdiagramm der Klasse vergleichen, Muster im Gesamtdiagramm diskutieren und Aussagen über Eigenschaften von Zufallsexperimenten generieren</w:t>
            </w:r>
          </w:p>
        </w:tc>
        <w:tc>
          <w:tcPr>
            <w:tcW w:w="14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Plenums- </w:t>
            </w:r>
            <w:proofErr w:type="spellStart"/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unterricht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Excel Blatt 1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PowerPoint</w:t>
            </w:r>
          </w:p>
        </w:tc>
        <w:tc>
          <w:tcPr>
            <w:tcW w:w="19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color w:val="000000" w:themeColor="text1"/>
                <w:sz w:val="19"/>
                <w:szCs w:val="19"/>
                <w:lang w:eastAsia="de-DE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erhalten Einsicht in die Variabilität statistischer Daten, indem Sie generierte Stichproben miteinander vergleichen.</w:t>
            </w:r>
          </w:p>
          <w:p>
            <w:pPr>
              <w:pStyle w:val="paragraph"/>
              <w:spacing w:before="0" w:beforeAutospacing="0" w:after="0" w:afterAutospacing="0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  <w:p>
            <w:pPr>
              <w:pStyle w:val="paragraph"/>
              <w:spacing w:before="0" w:beforeAutospacing="0" w:after="0" w:afterAutospacing="0"/>
              <w:rPr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erkennen Muster in der ausreichend großen Gesamtstichprobe, indem sie das dazugehörige Säulendiagramm analysieren.</w:t>
            </w:r>
          </w:p>
        </w:tc>
        <w:tc>
          <w:tcPr>
            <w:tcW w:w="21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>
            <w:pPr>
              <w:spacing w:line="240" w:lineRule="auto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</w:tc>
      </w:tr>
      <w:tr>
        <w:trPr>
          <w:trHeight w:val="1018"/>
        </w:trPr>
        <w:tc>
          <w:tcPr>
            <w:tcW w:w="5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</w:p>
        </w:tc>
        <w:tc>
          <w:tcPr>
            <w:tcW w:w="244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b/>
                <w:bCs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Reflexionsphase 2 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Verbinden von Statistik und Kontext, um die Forscherfrage “Ist das Spiel fair? Warum?” zu beantworten.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color w:val="000000" w:themeColor="text1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[Möglicher Anschluss: Einführung Baumdiagramm/Pfadregel/ Summenregel]</w:t>
            </w:r>
          </w:p>
        </w:tc>
        <w:tc>
          <w:tcPr>
            <w:tcW w:w="14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 xml:space="preserve">Plenums- </w:t>
            </w:r>
            <w:proofErr w:type="spellStart"/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unterricht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Excel Blatt 3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PowerPoint</w:t>
            </w:r>
          </w:p>
          <w:p>
            <w:pPr>
              <w:spacing w:after="0" w:line="240" w:lineRule="auto"/>
              <w:rPr>
                <w:rFonts w:ascii="Kantumruy Pro" w:eastAsia="Calibri Light" w:hAnsi="Kantumruy Pro" w:cs="Kantumruy Pro"/>
                <w:kern w:val="0"/>
                <w:sz w:val="19"/>
                <w:szCs w:val="19"/>
                <w:lang w:eastAsia="de-DE"/>
                <w14:ligatures w14:val="none"/>
              </w:rPr>
            </w:pPr>
            <w:r>
              <w:rPr>
                <w:rFonts w:ascii="Kantumruy Pro" w:eastAsia="Calibri Light" w:hAnsi="Kantumruy Pro" w:cs="Kantumruy Pro"/>
                <w:color w:val="000000"/>
                <w:kern w:val="0"/>
                <w:sz w:val="19"/>
                <w:szCs w:val="19"/>
                <w:lang w:eastAsia="de-DE"/>
                <w14:ligatures w14:val="none"/>
              </w:rPr>
              <w:t>Heftaufschrieb</w:t>
            </w:r>
          </w:p>
        </w:tc>
        <w:tc>
          <w:tcPr>
            <w:tcW w:w="193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>
            <w:pPr>
              <w:pStyle w:val="paragraph"/>
              <w:spacing w:before="0" w:beforeAutospacing="0" w:after="0" w:afterAutospacing="0"/>
              <w:rPr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  <w:proofErr w:type="spellStart"/>
            <w:proofErr w:type="gramStart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>Schüler:innen</w:t>
            </w:r>
            <w:proofErr w:type="spellEnd"/>
            <w:proofErr w:type="gramEnd"/>
            <w:r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  <w:t xml:space="preserve"> beantworten die Forscherfrage (“Ist das Spiel fair?”), indem sie die auftretenden relativen Häufigkeiten bei der Durchführung des Quaderspiels als Schätzwerte von Wahrscheinlichkeiten nutzen (Gesetz der großen Zahlen).</w:t>
            </w:r>
          </w:p>
        </w:tc>
        <w:tc>
          <w:tcPr>
            <w:tcW w:w="214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paragraph"/>
              <w:rPr>
                <w:rStyle w:val="normaltextrun"/>
                <w:rFonts w:ascii="Kantumruy Pro" w:eastAsia="Calibri Light" w:hAnsi="Kantumruy Pro" w:cs="Kantumruy Pro"/>
                <w:color w:val="202334"/>
                <w:sz w:val="19"/>
                <w:szCs w:val="19"/>
              </w:rPr>
            </w:pPr>
          </w:p>
        </w:tc>
      </w:tr>
    </w:tbl>
    <w:p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Kantumruy Pro" w:eastAsia="Calibri Light" w:hAnsi="Kantumruy Pro" w:cs="Kantumruy Pro"/>
          <w:color w:val="202334"/>
          <w:sz w:val="19"/>
          <w:szCs w:val="19"/>
        </w:rPr>
      </w:pPr>
    </w:p>
    <w:p>
      <w:pPr>
        <w:rPr>
          <w:rFonts w:ascii="Kantumruy Pro" w:eastAsia="Calibri Light" w:hAnsi="Kantumruy Pro" w:cs="Kantumruy Pro"/>
          <w:sz w:val="19"/>
          <w:szCs w:val="19"/>
        </w:rPr>
      </w:pPr>
    </w:p>
    <w:p>
      <w:pPr>
        <w:rPr>
          <w:rFonts w:ascii="Kantumruy Pro" w:eastAsia="Calibri Light" w:hAnsi="Kantumruy Pro" w:cs="Kantumruy Pro"/>
          <w:sz w:val="19"/>
          <w:szCs w:val="19"/>
        </w:rPr>
      </w:pPr>
    </w:p>
    <w:p>
      <w:pPr>
        <w:rPr>
          <w:rFonts w:ascii="Kantumruy Pro" w:eastAsia="Calibri Light" w:hAnsi="Kantumruy Pro" w:cs="Kantumruy Pro"/>
          <w:sz w:val="19"/>
          <w:szCs w:val="19"/>
        </w:rPr>
      </w:pPr>
    </w:p>
    <w:sectPr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  <w:endnote w:type="continuationNotice" w:id="1">
    <w:p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KantumruyPro-Regular">
    <w:altName w:val="Cambria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Kantumruy Pro">
    <w:altName w:val="Khmer UI"/>
    <w:panose1 w:val="00000000000000000000"/>
    <w:charset w:val="00"/>
    <w:family w:val="auto"/>
    <w:pitch w:val="variable"/>
    <w:sig w:usb0="80000023" w:usb1="00000002" w:usb2="0001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860786"/>
      <w:docPartObj>
        <w:docPartGallery w:val="Page Numbers (Bottom of Page)"/>
        <w:docPartUnique/>
      </w:docPartObj>
    </w:sdtPr>
    <w:sdtContent>
      <w:p>
        <w:pPr>
          <w:pStyle w:val="Fuzeile"/>
          <w:jc w:val="right"/>
        </w:pPr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8240" behindDoc="0" locked="0" layoutInCell="1" allowOverlap="1">
                  <wp:simplePos x="0" y="0"/>
                  <wp:positionH relativeFrom="column">
                    <wp:posOffset>-4084003</wp:posOffset>
                  </wp:positionH>
                  <wp:positionV relativeFrom="paragraph">
                    <wp:posOffset>-4129087</wp:posOffset>
                  </wp:positionV>
                  <wp:extent cx="8057515" cy="1404620"/>
                  <wp:effectExtent l="0" t="6667" r="0" b="0"/>
                  <wp:wrapNone/>
                  <wp:docPr id="217" name="Textfeld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0" y="0"/>
                            <a:ext cx="805751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Kantumruy Pro" w:hAnsi="Kantumruy Pro" w:cs="Kantumruy Pro"/>
                                  <w:noProof/>
                                  <w:color w:val="A6A6A6"/>
                                  <w:sz w:val="14"/>
                                  <w:szCs w:val="14"/>
                                </w:rPr>
                                <w:drawing>
                                  <wp:inline distT="0" distB="0" distL="0" distR="0">
                                    <wp:extent cx="514467" cy="180000"/>
                                    <wp:effectExtent l="0" t="0" r="0" b="0"/>
                                    <wp:docPr id="2" name="Grafik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Grafik 1"/>
                                            <pic:cNvPicPr/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14467" cy="18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 Özel, E., Bogda, F., Friesen, M., Vogel, M. (2025). Unterrichtsmaterialien. </w:t>
                              </w:r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Kompetenzverbund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lernen:digital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, </w:t>
                              </w:r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 xml:space="preserve">Projektverbund </w:t>
                              </w:r>
                              <w:proofErr w:type="spellStart"/>
                              <w:r>
                                <w:rPr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MINT-ProNeD</w:t>
                              </w:r>
                              <w:proofErr w:type="spellEnd"/>
                              <w:r>
                                <w:rPr>
                                  <w:rStyle w:val="fontstyle01"/>
                                  <w:rFonts w:ascii="Kantumruy Pro" w:hAnsi="Kantumruy Pro" w:cs="Kantumruy Pro"/>
                                  <w:color w:val="A6A6A6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6" type="#_x0000_t202" style="position:absolute;left:0;text-align:left;margin-left:-321.6pt;margin-top:-325.1pt;width:634.45pt;height:110.6pt;rotation:-90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" stroked="f">
                  <v:textbox style="mso-fit-shape-to-text:t">
                    <w:txbxContent>
                      <w:p>
                        <w:pP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</w:pPr>
                        <w:r>
                          <w:rPr>
                            <w:rFonts w:ascii="Kantumruy Pro" w:hAnsi="Kantumruy Pro" w:cs="Kantumruy Pro"/>
                            <w:noProof/>
                            <w:color w:val="A6A6A6"/>
                            <w:sz w:val="14"/>
                            <w:szCs w:val="14"/>
                          </w:rPr>
                          <w:drawing>
                            <wp:inline distT="0" distB="0" distL="0" distR="0">
                              <wp:extent cx="514467" cy="180000"/>
                              <wp:effectExtent l="0" t="0" r="0" b="0"/>
                              <wp:docPr id="2" name="Grafik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Grafik 1"/>
                                      <pic:cNvPicPr/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14467" cy="18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 Özel, E., Bogda, F., Friesen, M., Vogel, M. (2025). Unterrichtsmaterialien. </w:t>
                        </w:r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Kompetenzverbund </w:t>
                        </w:r>
                        <w:proofErr w:type="spellStart"/>
                        <w:proofErr w:type="gramStart"/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lernen:digital</w:t>
                        </w:r>
                        <w:proofErr w:type="spellEnd"/>
                        <w:proofErr w:type="gramEnd"/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, </w:t>
                        </w:r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 xml:space="preserve">Projektverbund </w:t>
                        </w:r>
                        <w:proofErr w:type="spellStart"/>
                        <w:r>
                          <w:rPr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MINT-ProNeD</w:t>
                        </w:r>
                        <w:proofErr w:type="spellEnd"/>
                        <w:r>
                          <w:rPr>
                            <w:rStyle w:val="fontstyle01"/>
                            <w:rFonts w:ascii="Kantumruy Pro" w:hAnsi="Kantumruy Pro" w:cs="Kantumruy Pro"/>
                            <w:color w:val="A6A6A6"/>
                            <w:sz w:val="14"/>
                            <w:szCs w:val="14"/>
                          </w:rPr>
                          <w:t>.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type="continuationNotice" w:id="1">
    <w:p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F07"/>
    <w:multiLevelType w:val="hybridMultilevel"/>
    <w:tmpl w:val="7286ED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22039"/>
    <w:multiLevelType w:val="hybridMultilevel"/>
    <w:tmpl w:val="BC8A77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A0C0582A">
      <w:start w:val="1"/>
      <w:numFmt w:val="lowerLetter"/>
      <w:lvlText w:val="%2."/>
      <w:lvlJc w:val="left"/>
      <w:pPr>
        <w:ind w:left="1080" w:hanging="360"/>
      </w:pPr>
    </w:lvl>
    <w:lvl w:ilvl="2" w:tplc="A29A8D9E">
      <w:start w:val="1"/>
      <w:numFmt w:val="lowerRoman"/>
      <w:lvlText w:val="%3."/>
      <w:lvlJc w:val="right"/>
      <w:pPr>
        <w:ind w:left="1800" w:hanging="180"/>
      </w:pPr>
    </w:lvl>
    <w:lvl w:ilvl="3" w:tplc="7938F16E">
      <w:start w:val="1"/>
      <w:numFmt w:val="decimal"/>
      <w:lvlText w:val="%4."/>
      <w:lvlJc w:val="left"/>
      <w:pPr>
        <w:ind w:left="2520" w:hanging="360"/>
      </w:pPr>
    </w:lvl>
    <w:lvl w:ilvl="4" w:tplc="B5AC27F2">
      <w:start w:val="1"/>
      <w:numFmt w:val="lowerLetter"/>
      <w:lvlText w:val="%5."/>
      <w:lvlJc w:val="left"/>
      <w:pPr>
        <w:ind w:left="3240" w:hanging="360"/>
      </w:pPr>
    </w:lvl>
    <w:lvl w:ilvl="5" w:tplc="B142BE50">
      <w:start w:val="1"/>
      <w:numFmt w:val="lowerRoman"/>
      <w:lvlText w:val="%6."/>
      <w:lvlJc w:val="right"/>
      <w:pPr>
        <w:ind w:left="3960" w:hanging="180"/>
      </w:pPr>
    </w:lvl>
    <w:lvl w:ilvl="6" w:tplc="90ACBA54">
      <w:start w:val="1"/>
      <w:numFmt w:val="decimal"/>
      <w:lvlText w:val="%7."/>
      <w:lvlJc w:val="left"/>
      <w:pPr>
        <w:ind w:left="4680" w:hanging="360"/>
      </w:pPr>
    </w:lvl>
    <w:lvl w:ilvl="7" w:tplc="B67EAF10">
      <w:start w:val="1"/>
      <w:numFmt w:val="lowerLetter"/>
      <w:lvlText w:val="%8."/>
      <w:lvlJc w:val="left"/>
      <w:pPr>
        <w:ind w:left="5400" w:hanging="360"/>
      </w:pPr>
    </w:lvl>
    <w:lvl w:ilvl="8" w:tplc="A33CBFCC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6308FB"/>
    <w:multiLevelType w:val="hybridMultilevel"/>
    <w:tmpl w:val="345029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E328E"/>
    <w:multiLevelType w:val="hybridMultilevel"/>
    <w:tmpl w:val="00FE78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B0046"/>
    <w:multiLevelType w:val="hybridMultilevel"/>
    <w:tmpl w:val="33D4B3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A5485"/>
    <w:multiLevelType w:val="hybridMultilevel"/>
    <w:tmpl w:val="FFFFFFFF"/>
    <w:lvl w:ilvl="0" w:tplc="ABFA134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5AA98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4B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88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620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4EB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A8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A0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2BD6"/>
    <w:multiLevelType w:val="hybridMultilevel"/>
    <w:tmpl w:val="FBEAD9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02076"/>
    <w:multiLevelType w:val="hybridMultilevel"/>
    <w:tmpl w:val="C150A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77015"/>
    <w:multiLevelType w:val="multilevel"/>
    <w:tmpl w:val="3162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A615C42"/>
    <w:multiLevelType w:val="hybridMultilevel"/>
    <w:tmpl w:val="3506AD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A42FE"/>
    <w:multiLevelType w:val="hybridMultilevel"/>
    <w:tmpl w:val="B498BBD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682E59"/>
    <w:multiLevelType w:val="hybridMultilevel"/>
    <w:tmpl w:val="6DF2695A"/>
    <w:lvl w:ilvl="0" w:tplc="FC1A2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745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626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0F8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D44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04D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9E7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2CB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EB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D91F9B1"/>
    <w:multiLevelType w:val="hybridMultilevel"/>
    <w:tmpl w:val="FFFFFFFF"/>
    <w:lvl w:ilvl="0" w:tplc="0BEA8A8A">
      <w:start w:val="1"/>
      <w:numFmt w:val="upperLetter"/>
      <w:lvlText w:val="%1."/>
      <w:lvlJc w:val="left"/>
      <w:pPr>
        <w:ind w:left="720" w:hanging="360"/>
      </w:pPr>
    </w:lvl>
    <w:lvl w:ilvl="1" w:tplc="77D80470">
      <w:start w:val="1"/>
      <w:numFmt w:val="lowerLetter"/>
      <w:lvlText w:val="%2."/>
      <w:lvlJc w:val="left"/>
      <w:pPr>
        <w:ind w:left="1440" w:hanging="360"/>
      </w:pPr>
    </w:lvl>
    <w:lvl w:ilvl="2" w:tplc="AC4C5984">
      <w:start w:val="1"/>
      <w:numFmt w:val="lowerRoman"/>
      <w:lvlText w:val="%3."/>
      <w:lvlJc w:val="right"/>
      <w:pPr>
        <w:ind w:left="2160" w:hanging="180"/>
      </w:pPr>
    </w:lvl>
    <w:lvl w:ilvl="3" w:tplc="7C2C25FC">
      <w:start w:val="1"/>
      <w:numFmt w:val="decimal"/>
      <w:lvlText w:val="%4."/>
      <w:lvlJc w:val="left"/>
      <w:pPr>
        <w:ind w:left="2880" w:hanging="360"/>
      </w:pPr>
    </w:lvl>
    <w:lvl w:ilvl="4" w:tplc="AD2AAC98">
      <w:start w:val="1"/>
      <w:numFmt w:val="lowerLetter"/>
      <w:lvlText w:val="%5."/>
      <w:lvlJc w:val="left"/>
      <w:pPr>
        <w:ind w:left="3600" w:hanging="360"/>
      </w:pPr>
    </w:lvl>
    <w:lvl w:ilvl="5" w:tplc="DA4400C6">
      <w:start w:val="1"/>
      <w:numFmt w:val="lowerRoman"/>
      <w:lvlText w:val="%6."/>
      <w:lvlJc w:val="right"/>
      <w:pPr>
        <w:ind w:left="4320" w:hanging="180"/>
      </w:pPr>
    </w:lvl>
    <w:lvl w:ilvl="6" w:tplc="1D5800F6">
      <w:start w:val="1"/>
      <w:numFmt w:val="decimal"/>
      <w:lvlText w:val="%7."/>
      <w:lvlJc w:val="left"/>
      <w:pPr>
        <w:ind w:left="5040" w:hanging="360"/>
      </w:pPr>
    </w:lvl>
    <w:lvl w:ilvl="7" w:tplc="364A3644">
      <w:start w:val="1"/>
      <w:numFmt w:val="lowerLetter"/>
      <w:lvlText w:val="%8."/>
      <w:lvlJc w:val="left"/>
      <w:pPr>
        <w:ind w:left="5760" w:hanging="360"/>
      </w:pPr>
    </w:lvl>
    <w:lvl w:ilvl="8" w:tplc="600E515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B0B1E"/>
    <w:multiLevelType w:val="hybridMultilevel"/>
    <w:tmpl w:val="00FE78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62223"/>
    <w:multiLevelType w:val="hybridMultilevel"/>
    <w:tmpl w:val="784A39C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5606E"/>
    <w:multiLevelType w:val="hybridMultilevel"/>
    <w:tmpl w:val="369ECE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D52A3"/>
    <w:multiLevelType w:val="hybridMultilevel"/>
    <w:tmpl w:val="FF54D9D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443CB"/>
    <w:multiLevelType w:val="hybridMultilevel"/>
    <w:tmpl w:val="DA1CDD9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A42DF"/>
    <w:multiLevelType w:val="hybridMultilevel"/>
    <w:tmpl w:val="3B50BD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8"/>
  </w:num>
  <w:num w:numId="5">
    <w:abstractNumId w:val="9"/>
  </w:num>
  <w:num w:numId="6">
    <w:abstractNumId w:val="18"/>
  </w:num>
  <w:num w:numId="7">
    <w:abstractNumId w:val="16"/>
  </w:num>
  <w:num w:numId="8">
    <w:abstractNumId w:val="7"/>
  </w:num>
  <w:num w:numId="9">
    <w:abstractNumId w:val="5"/>
  </w:num>
  <w:num w:numId="10">
    <w:abstractNumId w:val="1"/>
  </w:num>
  <w:num w:numId="11">
    <w:abstractNumId w:val="12"/>
  </w:num>
  <w:num w:numId="12">
    <w:abstractNumId w:val="10"/>
  </w:num>
  <w:num w:numId="13">
    <w:abstractNumId w:val="4"/>
  </w:num>
  <w:num w:numId="14">
    <w:abstractNumId w:val="6"/>
  </w:num>
  <w:num w:numId="15">
    <w:abstractNumId w:val="11"/>
  </w:num>
  <w:num w:numId="16">
    <w:abstractNumId w:val="3"/>
  </w:num>
  <w:num w:numId="17">
    <w:abstractNumId w:val="17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FD552-AE50-4105-95B6-E0CA2745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fontstyle01">
    <w:name w:val="fontstyle01"/>
    <w:basedOn w:val="Absatz-Standardschriftart"/>
    <w:rPr>
      <w:rFonts w:ascii="KantumruyPro-Regular" w:hAnsi="KantumruyPro-Regular" w:hint="default"/>
      <w:b w:val="0"/>
      <w:bCs w:val="0"/>
      <w:i w:val="0"/>
      <w:iCs w:val="0"/>
      <w:color w:val="202334"/>
      <w:sz w:val="18"/>
      <w:szCs w:val="18"/>
    </w:rPr>
  </w:style>
  <w:style w:type="paragraph" w:customStyle="1" w:styleId="paragraph">
    <w:name w:val="paragraph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</w:style>
  <w:style w:type="character" w:customStyle="1" w:styleId="eop">
    <w:name w:val="eop"/>
    <w:basedOn w:val="Absatz-Standardschriftart"/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</w:style>
  <w:style w:type="table" w:customStyle="1" w:styleId="Tabellenraster3">
    <w:name w:val="Tabellenraster3"/>
    <w:basedOn w:val="NormaleTabelle"/>
    <w:next w:val="Tabellenraster"/>
    <w:uiPriority w:val="39"/>
    <w:pPr>
      <w:spacing w:after="0" w:line="240" w:lineRule="auto"/>
    </w:pPr>
    <w:rPr>
      <w:rFonts w:eastAsia="MS Mincho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f6c342-884d-445e-b23f-6827029305ed">
      <Terms xmlns="http://schemas.microsoft.com/office/infopath/2007/PartnerControls"/>
    </lcf76f155ced4ddcb4097134ff3c332f>
    <TaxCatchAll xmlns="6c1181e3-633c-4b5e-959f-999035c3e8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C8AC31412FE488B37FB913E4DBFCC" ma:contentTypeVersion="14" ma:contentTypeDescription="Create a new document." ma:contentTypeScope="" ma:versionID="14cf9a1fbf41d6957e3894a8f21e8f9c">
  <xsd:schema xmlns:xsd="http://www.w3.org/2001/XMLSchema" xmlns:xs="http://www.w3.org/2001/XMLSchema" xmlns:p="http://schemas.microsoft.com/office/2006/metadata/properties" xmlns:ns2="37f6c342-884d-445e-b23f-6827029305ed" xmlns:ns3="6c1181e3-633c-4b5e-959f-999035c3e877" targetNamespace="http://schemas.microsoft.com/office/2006/metadata/properties" ma:root="true" ma:fieldsID="2128bde2d0f81f479fb1f84598811ec7" ns2:_="" ns3:_="">
    <xsd:import namespace="37f6c342-884d-445e-b23f-6827029305ed"/>
    <xsd:import namespace="6c1181e3-633c-4b5e-959f-999035c3e8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6c342-884d-445e-b23f-6827029305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661b680-6e8f-4cd2-b304-a0eb608713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181e3-633c-4b5e-959f-999035c3e87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fcf40f-b1c4-481b-b047-327bfd8c743c}" ma:internalName="TaxCatchAll" ma:showField="CatchAllData" ma:web="6c1181e3-633c-4b5e-959f-999035c3e8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8B2B8-92BB-4269-B40B-AB659725E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D5B766-7850-4451-A677-4314FF854FE6}">
  <ds:schemaRefs>
    <ds:schemaRef ds:uri="http://schemas.microsoft.com/office/2006/metadata/properties"/>
    <ds:schemaRef ds:uri="http://schemas.microsoft.com/office/infopath/2007/PartnerControls"/>
    <ds:schemaRef ds:uri="37f6c342-884d-445e-b23f-6827029305ed"/>
    <ds:schemaRef ds:uri="6c1181e3-633c-4b5e-959f-999035c3e877"/>
  </ds:schemaRefs>
</ds:datastoreItem>
</file>

<file path=customXml/itemProps3.xml><?xml version="1.0" encoding="utf-8"?>
<ds:datastoreItem xmlns:ds="http://schemas.openxmlformats.org/officeDocument/2006/customXml" ds:itemID="{9E473293-33E7-45C2-A6B6-E98B12919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4844A0-08F5-41F4-83FC-C209F8C86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6c342-884d-445e-b23f-6827029305ed"/>
    <ds:schemaRef ds:uri="6c1181e3-633c-4b5e-959f-999035c3e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Özel, E.;Bogda, F.;Friesen, M.;Vogel, M.</dc:creator>
  <cp:keywords/>
  <dc:description/>
  <cp:lastModifiedBy>Jennifer Bürk</cp:lastModifiedBy>
  <cp:revision>2</cp:revision>
  <cp:lastPrinted>2025-01-08T10:15:00Z</cp:lastPrinted>
  <dcterms:created xsi:type="dcterms:W3CDTF">2025-02-26T16:12:00Z</dcterms:created>
  <dcterms:modified xsi:type="dcterms:W3CDTF">2025-02-26T16:12:00Z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0x010100199C8AC31412FE488B37FB913E4DBFCC</vt:lpwstr>
  </property>
  <property fmtid="{D5CDD505-2E9C-101B-9397-08002B2CF9AE}" pid="3" name="MediaServiceImageTags">
    <vt:lpwstr/>
  </property>
</Properties>
</file>